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0862B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50164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009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0862B5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50164F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009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>по итоговой оценке заявок и выбору Победителя открытого запроса предложений с учетом проведенной процедуры переторжки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>по итоговой оценке заявок и выбору Победителя открытого запроса предложений с учетом проведенной процедуры переторжки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A8277D" w:rsidTr="00295A5E">
        <w:tc>
          <w:tcPr>
            <w:tcW w:w="4106" w:type="dxa"/>
            <w:shd w:val="clear" w:color="auto" w:fill="FFFFFF"/>
          </w:tcPr>
          <w:p w:rsidR="003721A1" w:rsidRPr="00A8277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8277D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A8277D" w:rsidRDefault="003721A1" w:rsidP="00A16E7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A8277D">
              <w:t>«</w:t>
            </w:r>
            <w:r w:rsidR="0050164F" w:rsidRPr="00A8277D">
              <w:rPr>
                <w:lang w:val="en-US"/>
              </w:rPr>
              <w:t>2</w:t>
            </w:r>
            <w:r w:rsidR="00A16E7C">
              <w:rPr>
                <w:lang w:val="en-US"/>
              </w:rPr>
              <w:t>1</w:t>
            </w:r>
            <w:r w:rsidRPr="00A8277D">
              <w:t xml:space="preserve">» </w:t>
            </w:r>
            <w:r w:rsidR="00F2045C" w:rsidRPr="00A8277D">
              <w:t>июля</w:t>
            </w:r>
            <w:r w:rsidRPr="00A8277D">
              <w:t xml:space="preserve"> 201</w:t>
            </w:r>
            <w:r w:rsidR="000862B5" w:rsidRPr="00A8277D">
              <w:t>6</w:t>
            </w:r>
            <w:r w:rsidRPr="00A8277D">
              <w:t>г.</w:t>
            </w:r>
          </w:p>
        </w:tc>
      </w:tr>
      <w:tr w:rsidR="003721A1" w:rsidRPr="00A8277D" w:rsidTr="00295A5E">
        <w:tc>
          <w:tcPr>
            <w:tcW w:w="4106" w:type="dxa"/>
            <w:shd w:val="clear" w:color="auto" w:fill="FFFFFF"/>
          </w:tcPr>
          <w:p w:rsidR="003721A1" w:rsidRPr="00A8277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A8277D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A8277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A8277D">
              <w:t>г. Барнаул</w:t>
            </w:r>
          </w:p>
        </w:tc>
      </w:tr>
      <w:tr w:rsidR="003721A1" w:rsidRPr="00A8277D" w:rsidTr="00295A5E">
        <w:tc>
          <w:tcPr>
            <w:tcW w:w="4106" w:type="dxa"/>
            <w:shd w:val="clear" w:color="auto" w:fill="FFFFFF"/>
          </w:tcPr>
          <w:p w:rsidR="003721A1" w:rsidRPr="00A8277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A8277D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A8277D" w:rsidRDefault="003721A1" w:rsidP="00F6419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A8277D">
              <w:t>1</w:t>
            </w:r>
            <w:r w:rsidR="00F6419B">
              <w:rPr>
                <w:lang w:val="en-US"/>
              </w:rPr>
              <w:t>4</w:t>
            </w:r>
            <w:r w:rsidRPr="00A8277D">
              <w:t>:00ч.</w:t>
            </w:r>
          </w:p>
        </w:tc>
      </w:tr>
    </w:tbl>
    <w:p w:rsidR="008567FD" w:rsidRPr="00A8277D" w:rsidRDefault="008567FD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50164F" w:rsidRPr="00A8277D" w:rsidTr="000F0DF6">
        <w:tc>
          <w:tcPr>
            <w:tcW w:w="3407" w:type="dxa"/>
            <w:shd w:val="clear" w:color="auto" w:fill="FFFFFF"/>
          </w:tcPr>
          <w:p w:rsidR="0050164F" w:rsidRPr="00A8277D" w:rsidRDefault="0050164F" w:rsidP="000F0DF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8277D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50164F" w:rsidRPr="00A8277D" w:rsidRDefault="0050164F" w:rsidP="000F0DF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A8277D">
              <w:t>Специальное оборудование и инструмент, расходные материалы</w:t>
            </w:r>
          </w:p>
        </w:tc>
      </w:tr>
      <w:tr w:rsidR="0050164F" w:rsidRPr="00A8277D" w:rsidTr="000F0DF6">
        <w:tc>
          <w:tcPr>
            <w:tcW w:w="3407" w:type="dxa"/>
            <w:shd w:val="clear" w:color="auto" w:fill="FFFFFF"/>
          </w:tcPr>
          <w:p w:rsidR="0050164F" w:rsidRPr="00A8277D" w:rsidRDefault="0050164F" w:rsidP="000F0DF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8277D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50164F" w:rsidRPr="00A8277D" w:rsidRDefault="0050164F" w:rsidP="000F0DF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A8277D">
              <w:t>880.16.00009</w:t>
            </w:r>
          </w:p>
        </w:tc>
      </w:tr>
      <w:tr w:rsidR="0050164F" w:rsidRPr="00A8277D" w:rsidTr="000F0DF6">
        <w:tc>
          <w:tcPr>
            <w:tcW w:w="3407" w:type="dxa"/>
            <w:shd w:val="clear" w:color="auto" w:fill="FFFFFF"/>
          </w:tcPr>
          <w:p w:rsidR="0050164F" w:rsidRPr="00A8277D" w:rsidRDefault="0050164F" w:rsidP="000F0DF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8277D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50164F" w:rsidRPr="00A8277D" w:rsidRDefault="0050164F" w:rsidP="000F0DF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A8277D">
              <w:t>Открытый запрос предложений</w:t>
            </w:r>
          </w:p>
        </w:tc>
      </w:tr>
      <w:tr w:rsidR="0050164F" w:rsidRPr="00A8277D" w:rsidTr="000F0DF6">
        <w:tc>
          <w:tcPr>
            <w:tcW w:w="3407" w:type="dxa"/>
            <w:shd w:val="clear" w:color="auto" w:fill="FFFFFF"/>
          </w:tcPr>
          <w:p w:rsidR="0050164F" w:rsidRPr="00A8277D" w:rsidRDefault="0050164F" w:rsidP="000F0DF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8277D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0164F" w:rsidRPr="00A8277D" w:rsidRDefault="0050164F" w:rsidP="000F0DF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A8277D">
              <w:t>электронная</w:t>
            </w:r>
          </w:p>
        </w:tc>
      </w:tr>
      <w:tr w:rsidR="0050164F" w:rsidRPr="00A8277D" w:rsidTr="000F0DF6">
        <w:tc>
          <w:tcPr>
            <w:tcW w:w="3407" w:type="dxa"/>
            <w:shd w:val="clear" w:color="auto" w:fill="FFFFFF"/>
          </w:tcPr>
          <w:p w:rsidR="0050164F" w:rsidRPr="00A8277D" w:rsidRDefault="0050164F" w:rsidP="000F0DF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A8277D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0164F" w:rsidRPr="00A8277D" w:rsidRDefault="0050164F" w:rsidP="000F0DF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A8277D">
              <w:t>да</w:t>
            </w:r>
          </w:p>
        </w:tc>
      </w:tr>
      <w:tr w:rsidR="0050164F" w:rsidRPr="00A8277D" w:rsidTr="000F0DF6">
        <w:tc>
          <w:tcPr>
            <w:tcW w:w="3407" w:type="dxa"/>
            <w:shd w:val="clear" w:color="auto" w:fill="FFFFFF"/>
          </w:tcPr>
          <w:p w:rsidR="0050164F" w:rsidRPr="00A8277D" w:rsidRDefault="0050164F" w:rsidP="000F0DF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8277D">
              <w:t>Сведения о начальной (максимальной) цене лота:</w:t>
            </w:r>
            <w:r w:rsidRPr="00A8277D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0164F" w:rsidRPr="00A8277D" w:rsidRDefault="0050164F" w:rsidP="000F0DF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A8277D">
              <w:t xml:space="preserve">666 579,95 </w:t>
            </w:r>
            <w:r w:rsidRPr="00A8277D">
              <w:rPr>
                <w:color w:val="000000"/>
              </w:rPr>
              <w:t>руб. без НДС</w:t>
            </w:r>
          </w:p>
        </w:tc>
      </w:tr>
      <w:tr w:rsidR="0050164F" w:rsidRPr="00A8277D" w:rsidTr="000F0DF6">
        <w:tc>
          <w:tcPr>
            <w:tcW w:w="3407" w:type="dxa"/>
            <w:shd w:val="clear" w:color="auto" w:fill="FFFFFF"/>
          </w:tcPr>
          <w:p w:rsidR="0050164F" w:rsidRPr="00A8277D" w:rsidRDefault="0050164F" w:rsidP="000F0DF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8277D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0164F" w:rsidRPr="00A8277D" w:rsidRDefault="0050164F" w:rsidP="000F0DF6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A8277D">
              <w:rPr>
                <w:sz w:val="24"/>
                <w:szCs w:val="24"/>
              </w:rPr>
              <w:t>Август 2016г. – Сентябрь 2016г.</w:t>
            </w:r>
          </w:p>
        </w:tc>
      </w:tr>
    </w:tbl>
    <w:p w:rsidR="0050164F" w:rsidRPr="00A8277D" w:rsidRDefault="0050164F" w:rsidP="00163E14">
      <w:pPr>
        <w:tabs>
          <w:tab w:val="left" w:pos="709"/>
        </w:tabs>
        <w:ind w:right="140"/>
        <w:rPr>
          <w:b/>
          <w:lang w:val="en-US"/>
        </w:rPr>
      </w:pPr>
    </w:p>
    <w:p w:rsidR="00285C1A" w:rsidRPr="00A8277D" w:rsidRDefault="00285C1A" w:rsidP="008567FD">
      <w:pPr>
        <w:tabs>
          <w:tab w:val="left" w:pos="709"/>
        </w:tabs>
        <w:spacing w:before="120"/>
        <w:ind w:right="142"/>
        <w:rPr>
          <w:b/>
        </w:rPr>
      </w:pPr>
      <w:r w:rsidRPr="00A8277D">
        <w:rPr>
          <w:b/>
        </w:rPr>
        <w:t>ПОВЕСТКА:</w:t>
      </w:r>
    </w:p>
    <w:p w:rsidR="00285C1A" w:rsidRPr="00A8277D" w:rsidRDefault="00285C1A" w:rsidP="00285C1A">
      <w:pPr>
        <w:pStyle w:val="af2"/>
        <w:numPr>
          <w:ilvl w:val="0"/>
          <w:numId w:val="41"/>
        </w:numPr>
        <w:jc w:val="both"/>
      </w:pPr>
      <w:r w:rsidRPr="00A8277D">
        <w:t>О рассмотрении Отчета экспертной группы по итоговой оценке предложений (с учетом проведенной процедуры переторжки).</w:t>
      </w:r>
    </w:p>
    <w:p w:rsidR="00285C1A" w:rsidRPr="00A8277D" w:rsidRDefault="00285C1A" w:rsidP="00285C1A">
      <w:pPr>
        <w:pStyle w:val="af2"/>
        <w:numPr>
          <w:ilvl w:val="0"/>
          <w:numId w:val="41"/>
        </w:numPr>
        <w:jc w:val="both"/>
      </w:pPr>
      <w:r w:rsidRPr="00A8277D"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285C1A" w:rsidRPr="00A8277D" w:rsidRDefault="00285C1A" w:rsidP="00285C1A">
      <w:pPr>
        <w:pStyle w:val="af2"/>
        <w:numPr>
          <w:ilvl w:val="0"/>
          <w:numId w:val="41"/>
        </w:numPr>
        <w:jc w:val="both"/>
      </w:pPr>
      <w:r w:rsidRPr="00A8277D">
        <w:rPr>
          <w:bCs/>
          <w:iCs/>
        </w:rPr>
        <w:t>Об определении Победителя процедуры открытого запроса предложений</w:t>
      </w:r>
      <w:r w:rsidRPr="00A8277D">
        <w:t>.</w:t>
      </w:r>
    </w:p>
    <w:p w:rsidR="00AD1D9E" w:rsidRPr="00A8277D" w:rsidRDefault="00AD1D9E" w:rsidP="00285C1A">
      <w:pPr>
        <w:pStyle w:val="af2"/>
        <w:numPr>
          <w:ilvl w:val="0"/>
          <w:numId w:val="41"/>
        </w:numPr>
        <w:jc w:val="both"/>
      </w:pPr>
      <w:r w:rsidRPr="00A8277D">
        <w:t xml:space="preserve">О возможности проведения преддоговорных переговоров с Победителем </w:t>
      </w:r>
      <w:r w:rsidRPr="00A8277D">
        <w:rPr>
          <w:bCs/>
          <w:iCs/>
        </w:rPr>
        <w:t>открытого запроса предложений.</w:t>
      </w:r>
    </w:p>
    <w:p w:rsidR="00E5479E" w:rsidRPr="00A8277D" w:rsidRDefault="00E5479E" w:rsidP="00E5479E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A8277D">
        <w:rPr>
          <w:b/>
          <w:caps/>
        </w:rPr>
        <w:t>ВОПРОСЫ ЗАСЕДАНИЯ Закупочной КОМИССИИ:</w:t>
      </w:r>
    </w:p>
    <w:p w:rsidR="00E5479E" w:rsidRPr="00A8277D" w:rsidRDefault="00E5479E" w:rsidP="005907FC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A8277D">
        <w:rPr>
          <w:b/>
          <w:i/>
        </w:rPr>
        <w:t>О рассмотрении Отчета экспертной группы по итоговой оценке предложений (с учетом проведенной процедуры переторжки).</w:t>
      </w:r>
    </w:p>
    <w:p w:rsidR="00E5479E" w:rsidRPr="00A8277D" w:rsidRDefault="00E5479E" w:rsidP="00E5479E">
      <w:pPr>
        <w:pStyle w:val="af2"/>
        <w:ind w:left="0" w:firstLine="567"/>
        <w:jc w:val="both"/>
      </w:pPr>
      <w:r w:rsidRPr="00A8277D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 (с учетом проведенной процедуры переторжки).</w:t>
      </w:r>
    </w:p>
    <w:p w:rsidR="00E5479E" w:rsidRPr="00A8277D" w:rsidRDefault="00E5479E" w:rsidP="00E5479E">
      <w:pPr>
        <w:pStyle w:val="af2"/>
        <w:ind w:left="0" w:firstLine="567"/>
        <w:jc w:val="both"/>
      </w:pPr>
      <w:r w:rsidRPr="00A8277D">
        <w:lastRenderedPageBreak/>
        <w:t xml:space="preserve">Закупочной комиссии предлагается </w:t>
      </w:r>
      <w:r w:rsidR="002E28AE" w:rsidRPr="00A8277D">
        <w:t>одобрить</w:t>
      </w:r>
      <w:r w:rsidRPr="00A8277D">
        <w:t xml:space="preserve"> Отчет экспертной группы по оценке предложений.</w:t>
      </w:r>
    </w:p>
    <w:p w:rsidR="00E5479E" w:rsidRPr="00A8277D" w:rsidRDefault="00E5479E" w:rsidP="005907F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A8277D">
        <w:rPr>
          <w:b/>
          <w:i/>
        </w:rPr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E5479E" w:rsidRPr="00A8277D" w:rsidRDefault="00E5479E" w:rsidP="00E5479E">
      <w:pPr>
        <w:ind w:firstLine="540"/>
        <w:jc w:val="both"/>
      </w:pPr>
      <w:r w:rsidRPr="00A8277D">
        <w:t>В соответствии с критериями и условиями проведения процедуры открытого запроса предложений, с учетом отчета экспертной группы по оценке предложений на участие в открытом запросе предложений (с учетом проведенной процедуры переторжки):</w:t>
      </w:r>
    </w:p>
    <w:p w:rsidR="00A70B2F" w:rsidRPr="00A8277D" w:rsidRDefault="00475615" w:rsidP="00475615">
      <w:pPr>
        <w:ind w:right="-2" w:firstLine="567"/>
        <w:jc w:val="both"/>
        <w:rPr>
          <w:b/>
        </w:rPr>
      </w:pPr>
      <w:r w:rsidRPr="00A8277D">
        <w:rPr>
          <w:b/>
        </w:rPr>
        <w:t xml:space="preserve">первое место: </w:t>
      </w:r>
      <w:r w:rsidR="00A70B2F" w:rsidRPr="00A8277D">
        <w:t xml:space="preserve">Общество с ограниченной ответственностью «СИБИРЬСПЕЦПОСТАВКА», 656016, г. Барнаул, проезд </w:t>
      </w:r>
      <w:proofErr w:type="spellStart"/>
      <w:r w:rsidR="00A70B2F" w:rsidRPr="00A8277D">
        <w:t>Рыбозаводской</w:t>
      </w:r>
      <w:proofErr w:type="spellEnd"/>
      <w:r w:rsidR="00A70B2F" w:rsidRPr="00A8277D">
        <w:t xml:space="preserve">, д. 42, пом. Н-2 (ИНН 2221216499, КПП 222101001, ОГРН 1142225015888), предложение на поставку товаров общей стоимостью </w:t>
      </w:r>
      <w:r w:rsidR="009B2DAC" w:rsidRPr="00A8277D">
        <w:t>533 936,11</w:t>
      </w:r>
      <w:r w:rsidR="00A70B2F" w:rsidRPr="00A8277D">
        <w:t xml:space="preserve"> руб. без НДС. Срок поставки: август 2016г. – сентябрь 2016г. Отгрузка Товара осуществляется в течение 3 календарных дней </w:t>
      </w:r>
      <w:proofErr w:type="gramStart"/>
      <w:r w:rsidR="00A70B2F" w:rsidRPr="00A8277D">
        <w:t>с даты получения</w:t>
      </w:r>
      <w:proofErr w:type="gramEnd"/>
      <w:r w:rsidR="00A70B2F" w:rsidRPr="00A8277D">
        <w:t xml:space="preserve"> письменной заявки Покупателя. Условия оплаты: в течение 30 календарных дней с момента поставки партии товара. Гарантийный срок: в соответствии с гарантией производителя, но не менее 12 месяцев с момента приемки товара Покупателем. Продукция, подлежащая периодической государственной поверке, имеет документы, подтверждающие наличие действующего заключения государственной поверки о соответствии нормам и требованиям, предъявляемым к конкретному оборудованию или инструменту.</w:t>
      </w:r>
    </w:p>
    <w:p w:rsidR="00475615" w:rsidRPr="00A8277D" w:rsidRDefault="00A70B2F" w:rsidP="00A70B2F">
      <w:pPr>
        <w:ind w:right="-2" w:firstLine="567"/>
        <w:jc w:val="both"/>
        <w:rPr>
          <w:b/>
        </w:rPr>
      </w:pPr>
      <w:r w:rsidRPr="00A8277D">
        <w:rPr>
          <w:b/>
        </w:rPr>
        <w:t xml:space="preserve">второе место: </w:t>
      </w:r>
      <w:r w:rsidR="00475615" w:rsidRPr="00A8277D">
        <w:t xml:space="preserve">Общество с ограниченной ответственностью «АЛЮКОР», 660056, г. Красноярск, ул. Караульная, д. 31, оф. 503 (ИНН 2461220347, КПП 246601001, ОГРН 1122468067150), предложение на поставку товаров общей стоимостью </w:t>
      </w:r>
      <w:r w:rsidR="009B2DAC" w:rsidRPr="00A8277D">
        <w:t>538 092,47</w:t>
      </w:r>
      <w:r w:rsidR="00475615" w:rsidRPr="00A8277D">
        <w:t xml:space="preserve"> руб. без НДС. Срок поставки: август 2016г. – сентябрь 2016г. Условия оплаты: в течение 30 календарных дней </w:t>
      </w:r>
      <w:proofErr w:type="gramStart"/>
      <w:r w:rsidR="00475615" w:rsidRPr="00A8277D">
        <w:t>с даты подписания</w:t>
      </w:r>
      <w:proofErr w:type="gramEnd"/>
      <w:r w:rsidR="00475615" w:rsidRPr="00A8277D">
        <w:t xml:space="preserve"> Покупателем Товарной накладной. Гарантийный срок: 12 месяцев с момента приемки оборудования. Товар, подлежащий периодической государственной поверке, содержит соответствующую отметку в паспорте. Срок действия поверки соответствует требованиям Приказа Минэнерго РФ от 30.06.2003 N 261 «Об утверждении инструкции по применению и испытанию средств защиты, используемых в электроустановках». Установленная дата поверки не превышает дату поставки более чем на 3 месяца. Срок первичной поверки менее одного года </w:t>
      </w:r>
      <w:proofErr w:type="gramStart"/>
      <w:r w:rsidR="00475615" w:rsidRPr="00A8277D">
        <w:t>с даты поставки</w:t>
      </w:r>
      <w:proofErr w:type="gramEnd"/>
      <w:r w:rsidR="00475615" w:rsidRPr="00A8277D">
        <w:t xml:space="preserve"> Покупателю.</w:t>
      </w:r>
    </w:p>
    <w:p w:rsidR="00475615" w:rsidRPr="00A8277D" w:rsidRDefault="00475615" w:rsidP="00475615">
      <w:pPr>
        <w:ind w:right="57" w:firstLine="567"/>
        <w:jc w:val="both"/>
        <w:rPr>
          <w:b/>
        </w:rPr>
      </w:pPr>
      <w:r w:rsidRPr="00A8277D">
        <w:rPr>
          <w:b/>
        </w:rPr>
        <w:t xml:space="preserve">третье место: </w:t>
      </w:r>
      <w:r w:rsidRPr="00A8277D">
        <w:t>Общество с ограниченной ответственностью «АЛТАЙЭНЕРГОСОЮЗ», 656038, г. Барнаул, ул. Путиловская, д. 20, офис Н</w:t>
      </w:r>
      <w:proofErr w:type="gramStart"/>
      <w:r w:rsidRPr="00A8277D">
        <w:t>7</w:t>
      </w:r>
      <w:proofErr w:type="gramEnd"/>
      <w:r w:rsidRPr="00A8277D">
        <w:t xml:space="preserve"> (ИНН 2224167803, КПП 222401001, ОГРН 1142224003591); предложение на поставку товаров общей стоимостью </w:t>
      </w:r>
      <w:r w:rsidR="009B2DAC" w:rsidRPr="00A8277D">
        <w:t>533 890,62</w:t>
      </w:r>
      <w:r w:rsidRPr="00A8277D">
        <w:t xml:space="preserve"> руб. без НДС. Поставка по заявкам Покупателя в течение 3 календарных дней. Условия оплаты: отсрочка платежа 30 календарных дней. Гарантия на предлагаемые к поставке материалы, установленная заводом изготовителем в соответствии с государственным стандартом, но не менее 12 месяцев с момента приемки оборудования по транспортной накладной. Предлагаемая продукция, которая подлежит государственной поверке, будет поставляться с действующей государственной поверкой, подтверждаемой соответствующими записями в паспортах и/или предоставлением протоколов испытаний.</w:t>
      </w:r>
    </w:p>
    <w:p w:rsidR="00AD1D9E" w:rsidRPr="00A8277D" w:rsidRDefault="00AD1D9E" w:rsidP="00AD1D9E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A8277D">
        <w:rPr>
          <w:b/>
          <w:bCs/>
          <w:i/>
          <w:iCs/>
        </w:rPr>
        <w:t>Об определении Победителя процедуры открытого запроса предложений</w:t>
      </w:r>
      <w:r w:rsidRPr="00A8277D">
        <w:rPr>
          <w:b/>
          <w:i/>
        </w:rPr>
        <w:t>.</w:t>
      </w:r>
    </w:p>
    <w:p w:rsidR="00E66EE5" w:rsidRPr="00A8277D" w:rsidRDefault="00E5479E" w:rsidP="00E66EE5">
      <w:pPr>
        <w:tabs>
          <w:tab w:val="num" w:pos="993"/>
        </w:tabs>
        <w:ind w:right="-2" w:firstLine="567"/>
        <w:contextualSpacing/>
        <w:jc w:val="both"/>
      </w:pPr>
      <w:r w:rsidRPr="00A8277D">
        <w:t xml:space="preserve">На основании вышеприведенного итогового ранжирования предлагается признать победителем открытого </w:t>
      </w:r>
      <w:r w:rsidRPr="00A8277D">
        <w:rPr>
          <w:bCs/>
          <w:iCs/>
        </w:rPr>
        <w:t>запроса предложений</w:t>
      </w:r>
      <w:r w:rsidRPr="00A8277D">
        <w:t xml:space="preserve"> участника, занявшего первое место, а именно:</w:t>
      </w:r>
    </w:p>
    <w:p w:rsidR="00B04B04" w:rsidRPr="00A8277D" w:rsidRDefault="00B85181" w:rsidP="00B04B04">
      <w:pPr>
        <w:tabs>
          <w:tab w:val="num" w:pos="993"/>
        </w:tabs>
        <w:ind w:right="-2" w:firstLine="567"/>
        <w:contextualSpacing/>
        <w:jc w:val="both"/>
        <w:rPr>
          <w:bCs/>
        </w:rPr>
      </w:pPr>
      <w:r w:rsidRPr="00A8277D">
        <w:rPr>
          <w:b/>
        </w:rPr>
        <w:t xml:space="preserve">первое место: </w:t>
      </w:r>
      <w:r w:rsidRPr="00A8277D">
        <w:t xml:space="preserve">Общество с ограниченной ответственностью «СИБИРЬСПЕЦПОСТАВКА», 656016, г. Барнаул, проезд </w:t>
      </w:r>
      <w:proofErr w:type="spellStart"/>
      <w:r w:rsidRPr="00A8277D">
        <w:t>Рыбозаводской</w:t>
      </w:r>
      <w:proofErr w:type="spellEnd"/>
      <w:r w:rsidRPr="00A8277D">
        <w:t xml:space="preserve">, д. 42, пом. Н-2 (ИНН 2221216499, КПП 222101001, ОГРН 1142225015888), предложение на поставку товаров общей стоимостью 533 936,11 руб. без НДС. Срок поставки: август 2016г. – сентябрь 2016г. Отгрузка Товара осуществляется в течение 3 календарных дней </w:t>
      </w:r>
      <w:proofErr w:type="gramStart"/>
      <w:r w:rsidRPr="00A8277D">
        <w:t>с даты получения</w:t>
      </w:r>
      <w:proofErr w:type="gramEnd"/>
      <w:r w:rsidRPr="00A8277D">
        <w:t xml:space="preserve"> письменной заявки Покупателя. Условия оплаты: в течение 30 календарных </w:t>
      </w:r>
      <w:r w:rsidRPr="00A8277D">
        <w:lastRenderedPageBreak/>
        <w:t>дней с момента поставки партии товара. Гарантийный срок: в соответствии с гарантией производителя, но не менее 12 месяцев с момента приемки товара Покупателем. Продукция, подлежащая периодической государственной поверке, имеет документы, подтверждающие наличие действующего заключения государственной поверки о соответствии нормам и требованиям, предъявляемым к конкретному оборудованию или инструменту.</w:t>
      </w:r>
    </w:p>
    <w:p w:rsidR="00AD1D9E" w:rsidRPr="00A8277D" w:rsidRDefault="00AD1D9E" w:rsidP="00AD1D9E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A8277D">
        <w:rPr>
          <w:b/>
          <w:i/>
        </w:rPr>
        <w:t xml:space="preserve">О возможности проведения преддоговорных переговоров с Победителем </w:t>
      </w:r>
      <w:r w:rsidRPr="00A8277D">
        <w:rPr>
          <w:b/>
          <w:bCs/>
          <w:i/>
          <w:iCs/>
        </w:rPr>
        <w:t>открытого запроса предложений</w:t>
      </w:r>
    </w:p>
    <w:p w:rsidR="00AD1D9E" w:rsidRPr="00A8277D" w:rsidRDefault="00AD1D9E" w:rsidP="00AD1D9E">
      <w:pPr>
        <w:ind w:firstLine="567"/>
        <w:jc w:val="both"/>
      </w:pPr>
      <w:r w:rsidRPr="00A8277D"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открытого запроса предложений </w:t>
      </w:r>
      <w:r w:rsidR="00A8277D" w:rsidRPr="00A8277D">
        <w:t xml:space="preserve">Общество с ограниченной ответственностью «СИБИРЬСПЕЦПОСТАВКА», 656016, г. Барнаул, проезд </w:t>
      </w:r>
      <w:proofErr w:type="spellStart"/>
      <w:r w:rsidR="00A8277D" w:rsidRPr="00A8277D">
        <w:t>Рыбозаводской</w:t>
      </w:r>
      <w:proofErr w:type="spellEnd"/>
      <w:r w:rsidR="00A8277D" w:rsidRPr="00A8277D">
        <w:t>, д. 42, пом. Н-2 (ИНН 2221216499, КПП 222101001, ОГРН 1142225015888)</w:t>
      </w:r>
      <w:r w:rsidRPr="00A8277D">
        <w:t>.</w:t>
      </w:r>
    </w:p>
    <w:p w:rsidR="00AD1D9E" w:rsidRPr="00A8277D" w:rsidRDefault="00AD1D9E" w:rsidP="00AD1D9E">
      <w:pPr>
        <w:tabs>
          <w:tab w:val="num" w:pos="993"/>
        </w:tabs>
        <w:ind w:right="-2" w:firstLine="567"/>
        <w:contextualSpacing/>
        <w:jc w:val="both"/>
      </w:pPr>
      <w:r w:rsidRPr="00A8277D">
        <w:rPr>
          <w:snapToGrid w:val="0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A8277D" w:rsidRDefault="00E5479E" w:rsidP="00F367C8">
      <w:pPr>
        <w:widowControl w:val="0"/>
        <w:tabs>
          <w:tab w:val="left" w:pos="0"/>
        </w:tabs>
        <w:spacing w:before="120"/>
        <w:ind w:firstLine="567"/>
        <w:jc w:val="both"/>
        <w:outlineLvl w:val="1"/>
        <w:rPr>
          <w:b/>
          <w:caps/>
        </w:rPr>
      </w:pPr>
      <w:r w:rsidRPr="00A8277D">
        <w:rPr>
          <w:b/>
          <w:caps/>
        </w:rPr>
        <w:t>РЕШИЛИ:</w:t>
      </w:r>
    </w:p>
    <w:p w:rsidR="00E5479E" w:rsidRPr="00A8277D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</w:pPr>
      <w:r w:rsidRPr="00A8277D">
        <w:t>Одобрить Отчет экспертной группы по оценке Предложений</w:t>
      </w:r>
      <w:r w:rsidR="00E66EE5" w:rsidRPr="00A8277D">
        <w:t xml:space="preserve"> (с учетом проведенной процедуры переторжки)</w:t>
      </w:r>
      <w:r w:rsidRPr="00A8277D">
        <w:t>.</w:t>
      </w:r>
    </w:p>
    <w:p w:rsidR="00E5479E" w:rsidRPr="00A8277D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426" w:firstLine="141"/>
        <w:jc w:val="both"/>
      </w:pPr>
      <w:r w:rsidRPr="00A8277D">
        <w:t xml:space="preserve">Утвердить </w:t>
      </w:r>
      <w:proofErr w:type="gramStart"/>
      <w:r w:rsidRPr="00A8277D">
        <w:t>итоговую</w:t>
      </w:r>
      <w:proofErr w:type="gramEnd"/>
      <w:r w:rsidRPr="00A8277D">
        <w:t xml:space="preserve"> </w:t>
      </w:r>
      <w:proofErr w:type="spellStart"/>
      <w:r w:rsidRPr="00A8277D">
        <w:t>ранжировку</w:t>
      </w:r>
      <w:proofErr w:type="spellEnd"/>
      <w:r w:rsidRPr="00A8277D">
        <w:t xml:space="preserve"> предложений.</w:t>
      </w:r>
    </w:p>
    <w:p w:rsidR="00E5479E" w:rsidRPr="00A8277D" w:rsidRDefault="005907FC" w:rsidP="007B7AF8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A8277D">
        <w:t xml:space="preserve">Признать Победителем открытого </w:t>
      </w:r>
      <w:r w:rsidRPr="00A8277D">
        <w:rPr>
          <w:bCs/>
          <w:iCs/>
        </w:rPr>
        <w:t xml:space="preserve">запроса предложений и </w:t>
      </w:r>
      <w:r w:rsidRPr="00A8277D">
        <w:t xml:space="preserve">заключить договор на следующих условиях </w:t>
      </w:r>
      <w:proofErr w:type="gramStart"/>
      <w:r w:rsidRPr="00A8277D">
        <w:t>с</w:t>
      </w:r>
      <w:proofErr w:type="gramEnd"/>
      <w:r w:rsidRPr="00A8277D">
        <w:t>:</w:t>
      </w:r>
      <w:r w:rsidR="00E5479E" w:rsidRPr="00A8277D">
        <w:t xml:space="preserve"> </w:t>
      </w:r>
    </w:p>
    <w:p w:rsidR="005907FC" w:rsidRPr="00A8277D" w:rsidRDefault="00A8277D" w:rsidP="007B7AF8">
      <w:pPr>
        <w:pStyle w:val="ad"/>
        <w:spacing w:line="240" w:lineRule="auto"/>
        <w:ind w:left="0" w:firstLine="567"/>
        <w:rPr>
          <w:sz w:val="24"/>
          <w:szCs w:val="24"/>
        </w:rPr>
      </w:pPr>
      <w:r w:rsidRPr="00A8277D">
        <w:rPr>
          <w:sz w:val="24"/>
          <w:szCs w:val="24"/>
        </w:rPr>
        <w:t xml:space="preserve">Общество с ограниченной ответственностью «СИБИРЬСПЕЦПОСТАВКА», 656016, г. Барнаул, проезд </w:t>
      </w:r>
      <w:proofErr w:type="spellStart"/>
      <w:r w:rsidRPr="00A8277D">
        <w:rPr>
          <w:sz w:val="24"/>
          <w:szCs w:val="24"/>
        </w:rPr>
        <w:t>Рыбозаводской</w:t>
      </w:r>
      <w:proofErr w:type="spellEnd"/>
      <w:r w:rsidRPr="00A8277D">
        <w:rPr>
          <w:sz w:val="24"/>
          <w:szCs w:val="24"/>
        </w:rPr>
        <w:t xml:space="preserve">, д. 42, пом. Н-2 (ИНН 2221216499, КПП 222101001, ОГРН 1142225015888), предложение на поставку товаров общей стоимостью 533 936,11 руб. без НДС. Срок поставки: август 2016г. – сентябрь 2016г. Отгрузка Товара осуществляется в течение 3 календарных дней </w:t>
      </w:r>
      <w:proofErr w:type="gramStart"/>
      <w:r w:rsidRPr="00A8277D">
        <w:rPr>
          <w:sz w:val="24"/>
          <w:szCs w:val="24"/>
        </w:rPr>
        <w:t>с даты получения</w:t>
      </w:r>
      <w:proofErr w:type="gramEnd"/>
      <w:r w:rsidRPr="00A8277D">
        <w:rPr>
          <w:sz w:val="24"/>
          <w:szCs w:val="24"/>
        </w:rPr>
        <w:t xml:space="preserve"> письменной заявки Покупателя. Условия оплаты: в течение 30 календарных дней с момента поставки партии товара. Гарантийный срок: в соответствии с гарантией производителя, но не менее 12 месяцев с момента приемки товара Покупателем. Продукция, подлежащая периодической государственной поверке, имеет документы, подтверждающие наличие действующего заключения государственной поверки о соответствии нормам и требованиям, предъявляемым к конкретному оборудованию или инструменту.</w:t>
      </w:r>
    </w:p>
    <w:p w:rsidR="00FA4044" w:rsidRPr="00A8277D" w:rsidRDefault="00FA4044" w:rsidP="00FA404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A8277D">
        <w:t xml:space="preserve">Допускается проведение преддоговорных переговоров с </w:t>
      </w:r>
      <w:r w:rsidR="00A8277D" w:rsidRPr="00A8277D">
        <w:t xml:space="preserve">Общество с ограниченной ответственностью «СИБИРЬСПЕЦПОСТАВКА», 656016, г. Барнаул, проезд </w:t>
      </w:r>
      <w:proofErr w:type="spellStart"/>
      <w:r w:rsidR="00A8277D" w:rsidRPr="00A8277D">
        <w:t>Рыбозаводской</w:t>
      </w:r>
      <w:proofErr w:type="spellEnd"/>
      <w:r w:rsidR="00A8277D" w:rsidRPr="00A8277D">
        <w:t>, д. 42, пом. Н-2 (ИНН 2221216499, КПП 222101001, ОГРН 1142225015888)</w:t>
      </w:r>
      <w:r w:rsidRPr="00A8277D">
        <w:t xml:space="preserve"> 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FA4044" w:rsidRPr="00A8277D" w:rsidRDefault="00FA4044" w:rsidP="00FA4044">
      <w:pPr>
        <w:widowControl w:val="0"/>
        <w:tabs>
          <w:tab w:val="left" w:pos="851"/>
        </w:tabs>
        <w:ind w:firstLine="567"/>
        <w:jc w:val="both"/>
      </w:pPr>
      <w:r w:rsidRPr="00A8277D"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E5479E" w:rsidRPr="00A8277D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A8277D">
        <w:t xml:space="preserve">Победителю запроса предложений </w:t>
      </w:r>
      <w:proofErr w:type="gramStart"/>
      <w:r w:rsidRPr="00A8277D">
        <w:t>предоставить справку</w:t>
      </w:r>
      <w:proofErr w:type="gramEnd"/>
      <w:r w:rsidRPr="00A8277D">
        <w:t xml:space="preserve"> о цепочке собственников в соответствии с Гарантийным письмом в течение 5 (пяти) рабочих дней.</w:t>
      </w:r>
    </w:p>
    <w:p w:rsidR="00E5479E" w:rsidRPr="00A8277D" w:rsidRDefault="00E5479E" w:rsidP="008A14B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A8277D">
        <w:rPr>
          <w:snapToGrid w:val="0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F772B5" w:rsidRPr="00A8277D" w:rsidRDefault="00F772B5" w:rsidP="008567FD">
      <w:pPr>
        <w:spacing w:before="120"/>
        <w:ind w:right="142"/>
        <w:jc w:val="both"/>
        <w:rPr>
          <w:b/>
          <w:caps/>
        </w:rPr>
      </w:pPr>
      <w:r w:rsidRPr="00A8277D">
        <w:rPr>
          <w:b/>
        </w:rPr>
        <w:t>РЕЗУЛЬТАТЫ ГОЛОСОВАНИЯ:</w:t>
      </w:r>
    </w:p>
    <w:p w:rsidR="00F772B5" w:rsidRPr="00A8277D" w:rsidRDefault="00F772B5" w:rsidP="00F772B5">
      <w:pPr>
        <w:ind w:right="140"/>
        <w:jc w:val="both"/>
      </w:pPr>
      <w:r w:rsidRPr="00A8277D">
        <w:t>«За»</w:t>
      </w:r>
      <w:r w:rsidRPr="00A8277D">
        <w:rPr>
          <w:u w:val="single"/>
        </w:rPr>
        <w:t xml:space="preserve">  </w:t>
      </w:r>
      <w:r w:rsidR="00F2045C" w:rsidRPr="00A8277D">
        <w:rPr>
          <w:u w:val="single"/>
        </w:rPr>
        <w:t>4</w:t>
      </w:r>
      <w:r w:rsidRPr="00A8277D">
        <w:rPr>
          <w:u w:val="single"/>
        </w:rPr>
        <w:t xml:space="preserve">   </w:t>
      </w:r>
      <w:r w:rsidRPr="00A8277D">
        <w:t>член</w:t>
      </w:r>
      <w:r w:rsidR="00F2045C" w:rsidRPr="00A8277D">
        <w:t>а</w:t>
      </w:r>
      <w:r w:rsidRPr="00A8277D">
        <w:t xml:space="preserve"> закупочной комиссии.</w:t>
      </w:r>
    </w:p>
    <w:p w:rsidR="00F772B5" w:rsidRPr="00A8277D" w:rsidRDefault="00F772B5" w:rsidP="00F772B5">
      <w:pPr>
        <w:ind w:right="140"/>
        <w:jc w:val="both"/>
      </w:pPr>
      <w:r w:rsidRPr="00A8277D">
        <w:t>«Против»</w:t>
      </w:r>
      <w:r w:rsidRPr="00A8277D">
        <w:rPr>
          <w:u w:val="single"/>
        </w:rPr>
        <w:t xml:space="preserve"> 0 </w:t>
      </w:r>
      <w:r w:rsidRPr="00A8277D">
        <w:t>членов закупочной комиссии.</w:t>
      </w:r>
    </w:p>
    <w:p w:rsidR="00F772B5" w:rsidRPr="00A8277D" w:rsidRDefault="00F772B5" w:rsidP="00F772B5">
      <w:pPr>
        <w:ind w:right="140"/>
        <w:jc w:val="both"/>
      </w:pPr>
      <w:r w:rsidRPr="00A8277D">
        <w:t>«Воздержалось»</w:t>
      </w:r>
      <w:r w:rsidRPr="00A8277D">
        <w:rPr>
          <w:u w:val="single"/>
        </w:rPr>
        <w:t xml:space="preserve"> 0 </w:t>
      </w:r>
      <w:r w:rsidRPr="00A8277D">
        <w:t>членов закупочной комиссии.</w:t>
      </w:r>
      <w:bookmarkStart w:id="0" w:name="_GoBack"/>
      <w:bookmarkEnd w:id="0"/>
    </w:p>
    <w:sectPr w:rsidR="00F772B5" w:rsidRPr="00A8277D" w:rsidSect="00274456">
      <w:footerReference w:type="default" r:id="rId10"/>
      <w:pgSz w:w="11906" w:h="16838"/>
      <w:pgMar w:top="568" w:right="851" w:bottom="1843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</w:t>
    </w:r>
    <w:r w:rsidR="000862B5">
      <w:rPr>
        <w:b/>
        <w:sz w:val="20"/>
        <w:szCs w:val="20"/>
      </w:rPr>
      <w:t>6</w:t>
    </w:r>
    <w:r w:rsidRPr="00794B2F">
      <w:rPr>
        <w:b/>
        <w:sz w:val="20"/>
        <w:szCs w:val="20"/>
      </w:rPr>
      <w:t>.00</w:t>
    </w:r>
    <w:r w:rsidR="0050164F" w:rsidRPr="0050164F">
      <w:rPr>
        <w:b/>
        <w:sz w:val="20"/>
        <w:szCs w:val="20"/>
      </w:rPr>
      <w:t>009</w:t>
    </w:r>
    <w:r w:rsidRPr="00794B2F">
      <w:rPr>
        <w:b/>
        <w:sz w:val="20"/>
        <w:szCs w:val="20"/>
      </w:rPr>
      <w:t>/ОЗП-П</w:t>
    </w:r>
    <w:r w:rsidR="00B16895">
      <w:rPr>
        <w:b/>
        <w:sz w:val="20"/>
        <w:szCs w:val="20"/>
      </w:rPr>
      <w:t>В</w:t>
    </w:r>
    <w:r w:rsidRPr="00794B2F">
      <w:rPr>
        <w:b/>
        <w:sz w:val="20"/>
        <w:szCs w:val="20"/>
      </w:rPr>
      <w:t>П от «</w:t>
    </w:r>
    <w:r w:rsidR="0050164F" w:rsidRPr="0050164F">
      <w:rPr>
        <w:b/>
        <w:sz w:val="20"/>
        <w:szCs w:val="20"/>
      </w:rPr>
      <w:t>2</w:t>
    </w:r>
    <w:r w:rsidR="00A16E7C" w:rsidRPr="00A16E7C">
      <w:rPr>
        <w:b/>
        <w:sz w:val="20"/>
        <w:szCs w:val="20"/>
      </w:rPr>
      <w:t>1</w:t>
    </w:r>
    <w:r w:rsidRPr="00794B2F">
      <w:rPr>
        <w:b/>
        <w:sz w:val="20"/>
        <w:szCs w:val="20"/>
      </w:rPr>
      <w:t xml:space="preserve">» </w:t>
    </w:r>
    <w:r w:rsidR="00F2045C">
      <w:rPr>
        <w:b/>
        <w:sz w:val="20"/>
        <w:szCs w:val="20"/>
      </w:rPr>
      <w:t>июля</w:t>
    </w:r>
    <w:r w:rsidRPr="00794B2F">
      <w:rPr>
        <w:b/>
        <w:sz w:val="20"/>
        <w:szCs w:val="20"/>
      </w:rPr>
      <w:t xml:space="preserve"> 201</w:t>
    </w:r>
    <w:r w:rsidR="000862B5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>по итоговой оценке заявок и выбору Победителя открытого запроса предложений с учетом проведенной процедуры переторжки</w:t>
    </w:r>
  </w:p>
  <w:p w:rsidR="00D36849" w:rsidRDefault="00D36849" w:rsidP="00FA4044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4224EF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2B5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44B05"/>
    <w:rsid w:val="00152793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B55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456"/>
    <w:rsid w:val="00274C57"/>
    <w:rsid w:val="00275029"/>
    <w:rsid w:val="00280575"/>
    <w:rsid w:val="00281387"/>
    <w:rsid w:val="00281C9F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B2F5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4EF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2F8"/>
    <w:rsid w:val="00472A56"/>
    <w:rsid w:val="00475615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64F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7D2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47D26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567FD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2DAC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6E7C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0B2F"/>
    <w:rsid w:val="00A73752"/>
    <w:rsid w:val="00A74F6D"/>
    <w:rsid w:val="00A77184"/>
    <w:rsid w:val="00A7754B"/>
    <w:rsid w:val="00A8277D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6586"/>
    <w:rsid w:val="00AB778C"/>
    <w:rsid w:val="00AC1557"/>
    <w:rsid w:val="00AC2583"/>
    <w:rsid w:val="00AC2A40"/>
    <w:rsid w:val="00AD0594"/>
    <w:rsid w:val="00AD150D"/>
    <w:rsid w:val="00AD1D9E"/>
    <w:rsid w:val="00AD25BF"/>
    <w:rsid w:val="00AD354D"/>
    <w:rsid w:val="00AE024D"/>
    <w:rsid w:val="00AE2204"/>
    <w:rsid w:val="00AF17BA"/>
    <w:rsid w:val="00AF5CDD"/>
    <w:rsid w:val="00B008CD"/>
    <w:rsid w:val="00B0213C"/>
    <w:rsid w:val="00B04B04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181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B7A81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B1D4E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045C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419B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4044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EC3E-4F70-42B3-8C7B-FC9CF599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1005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162</cp:revision>
  <cp:lastPrinted>2015-07-02T11:07:00Z</cp:lastPrinted>
  <dcterms:created xsi:type="dcterms:W3CDTF">2014-12-01T08:11:00Z</dcterms:created>
  <dcterms:modified xsi:type="dcterms:W3CDTF">2016-07-22T07:49:00Z</dcterms:modified>
</cp:coreProperties>
</file>